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rPr>
          <w:b/>
        </w:rPr>
      </w:pPr>
    </w:p>
    <w:p>
      <w:pPr>
        <w:pStyle w:val="BodyText"/>
        <w:spacing w:before="69"/>
        <w:rPr>
          <w:b/>
        </w:rPr>
      </w:pPr>
    </w:p>
    <w:p>
      <w:pPr>
        <w:tabs>
          <w:tab w:pos="2160" w:val="left" w:leader="none"/>
        </w:tabs>
        <w:spacing w:before="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b/>
          <w:sz w:val="20"/>
        </w:rPr>
        <w:tab/>
      </w:r>
      <w:r>
        <w:rPr>
          <w:spacing w:val="-2"/>
          <w:sz w:val="20"/>
        </w:rPr>
        <w:t>FR1603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z w:val="20"/>
        </w:rPr>
        <w:t>Farm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Ranch</w:t>
      </w:r>
      <w:r>
        <w:rPr>
          <w:spacing w:val="-8"/>
          <w:sz w:val="20"/>
        </w:rPr>
        <w:t> </w:t>
      </w:r>
      <w:r>
        <w:rPr>
          <w:sz w:val="20"/>
        </w:rPr>
        <w:t>Rust</w:t>
      </w:r>
      <w:r>
        <w:rPr>
          <w:spacing w:val="-8"/>
          <w:sz w:val="20"/>
        </w:rPr>
        <w:t> </w:t>
      </w:r>
      <w:r>
        <w:rPr>
          <w:sz w:val="20"/>
        </w:rPr>
        <w:t>Inhibitive</w:t>
      </w:r>
      <w:r>
        <w:rPr>
          <w:spacing w:val="-8"/>
          <w:sz w:val="20"/>
        </w:rPr>
        <w:t> </w:t>
      </w:r>
      <w:r>
        <w:rPr>
          <w:sz w:val="20"/>
        </w:rPr>
        <w:t>Primer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Gray</w:t>
      </w:r>
    </w:p>
    <w:p>
      <w:pPr>
        <w:tabs>
          <w:tab w:pos="2160" w:val="left" w:leader="none"/>
        </w:tabs>
        <w:spacing w:before="11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1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39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9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4013" w:val="righ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4"/>
        </w:rPr>
        <w:t>800-</w:t>
      </w:r>
      <w:r>
        <w:rPr/>
        <w:t>222-</w:t>
      </w:r>
      <w:r>
        <w:rPr>
          <w:spacing w:val="-4"/>
        </w:rPr>
        <w:t>1222</w:t>
      </w:r>
    </w:p>
    <w:p>
      <w:pPr>
        <w:pStyle w:val="Heading1"/>
        <w:spacing w:before="472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spacing w:before="553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2" w:after="1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Carbonate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1317-65-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30% - </w:t>
            </w:r>
            <w:r>
              <w:rPr>
                <w:spacing w:val="-5"/>
                <w:sz w:val="18"/>
              </w:rPr>
              <w:t>35%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Black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13463-67-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(Talc)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14807-96-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5% - </w:t>
            </w:r>
            <w:r>
              <w:rPr>
                <w:spacing w:val="-5"/>
                <w:sz w:val="18"/>
              </w:rPr>
              <w:t>10%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Crystalline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Silica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14808-60-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&lt;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15% - </w:t>
            </w:r>
            <w:r>
              <w:rPr>
                <w:spacing w:val="-5"/>
                <w:sz w:val="18"/>
              </w:rPr>
              <w:t>20%</w:t>
            </w:r>
          </w:p>
        </w:tc>
      </w:tr>
    </w:tbl>
    <w:p>
      <w:pPr>
        <w:pStyle w:val="BodyText"/>
        <w:spacing w:before="165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1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3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  <w:spacing w:before="1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0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3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59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2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3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1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 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0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8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0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spacing w:before="1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2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1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4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PEL: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3.5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PEL-STEL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20 </w:t>
            </w:r>
            <w:r>
              <w:rPr>
                <w:spacing w:val="-2"/>
                <w:sz w:val="18"/>
              </w:rPr>
              <w:t>mppcf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Crystalline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Silica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(14808-60-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0.05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</w:tr>
    </w:tbl>
    <w:p>
      <w:pPr>
        <w:pStyle w:val="TableParagraph"/>
        <w:spacing w:after="0"/>
        <w:jc w:val="center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ind w:left="412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561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BodyText"/>
        <w:spacing w:before="110"/>
        <w:rPr>
          <w:b/>
          <w:sz w:val="24"/>
        </w:rPr>
      </w:pPr>
    </w:p>
    <w:p>
      <w:pPr>
        <w:pStyle w:val="Heading2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3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4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7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2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8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1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1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3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255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74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10"/>
                <w:sz w:val="18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1.37930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344.09270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(2.87159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344.09270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(2.87159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75.00695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57.10961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32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58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60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58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3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2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4"/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1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3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5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58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61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7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18" w:lineRule="exact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&gt;8,000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non-irritative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&gt;6.8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Crystalline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Silica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(14808-60-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21"/>
        <w:rPr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4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6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60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58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>
          <w:spacing w:val="-2"/>
        </w:rPr>
        <w:t>Bioaccumulation: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>
          <w:spacing w:val="-2"/>
        </w:rPr>
        <w:t>Mobility:</w:t>
      </w:r>
    </w:p>
    <w:p>
      <w:pPr>
        <w:pStyle w:val="BodyText"/>
        <w:spacing w:line="398" w:lineRule="auto" w:before="158"/>
        <w:ind w:right="5056"/>
      </w:pPr>
      <w:r>
        <w:rPr/>
        <w:t>Air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Liquid</w:t>
      </w:r>
      <w:r>
        <w:rPr>
          <w:spacing w:val="-8"/>
        </w:rPr>
        <w:t> </w:t>
      </w:r>
      <w:r>
        <w:rPr/>
        <w:t>components</w:t>
      </w:r>
      <w:r>
        <w:rPr>
          <w:spacing w:val="-9"/>
        </w:rPr>
        <w:t> </w:t>
      </w:r>
      <w:r>
        <w:rPr/>
        <w:t>are</w:t>
      </w:r>
      <w:r>
        <w:rPr>
          <w:spacing w:val="-9"/>
        </w:rPr>
        <w:t> </w:t>
      </w:r>
      <w:r>
        <w:rPr/>
        <w:t>volatile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will</w:t>
      </w:r>
      <w:r>
        <w:rPr>
          <w:spacing w:val="-9"/>
        </w:rPr>
        <w:t> </w:t>
      </w:r>
      <w:r>
        <w:rPr/>
        <w:t>partition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air. Soil - No information available.</w:t>
      </w:r>
    </w:p>
    <w:p>
      <w:pPr>
        <w:pStyle w:val="BodyText"/>
        <w:spacing w:before="160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0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1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3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4"/>
        <w:rPr>
          <w:b/>
          <w:sz w:val="24"/>
        </w:rPr>
      </w:pPr>
    </w:p>
    <w:p>
      <w:pPr>
        <w:pStyle w:val="Heading2"/>
        <w:spacing w:before="1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58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62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59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Heading1"/>
        <w:spacing w:before="97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Heading2"/>
        <w:spacing w:before="661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Contaminant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(AB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1807,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AB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2728)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 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11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4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Calcium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Carbonate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(1317-65-</w:t>
            </w:r>
            <w:r>
              <w:rPr>
                <w:spacing w:val="-5"/>
                <w:sz w:val="18"/>
              </w:rPr>
              <w:t>3)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Carbon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Black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(1333-86-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9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Magnesium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Silicate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(Talc)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(14807-96-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69"/>
        <w:rPr>
          <w:b/>
        </w:rPr>
      </w:pPr>
    </w:p>
    <w:p>
      <w:pPr>
        <w:spacing w:before="1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1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64"/>
        <w:rPr>
          <w:b/>
        </w:rPr>
      </w:pPr>
    </w:p>
    <w:p>
      <w:pPr>
        <w:pStyle w:val="BodyText"/>
        <w:spacing w:before="1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before="1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10816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30566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11328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07/03/2025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30515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07/03/2025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1030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2026-03-19T13:48:38Z</dcterms:created>
  <dcterms:modified xsi:type="dcterms:W3CDTF">2026-03-19T13:48:38Z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