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FR0903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Ranch</w:t>
      </w:r>
      <w:r>
        <w:rPr>
          <w:spacing w:val="-5"/>
          <w:sz w:val="20"/>
        </w:rPr>
        <w:t> </w:t>
      </w:r>
      <w:r>
        <w:rPr>
          <w:sz w:val="20"/>
        </w:rPr>
        <w:t>Gloss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Red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> 170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2786-76-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</w:tbl>
    <w:p>
      <w:pPr>
        <w:pStyle w:val="BodyText"/>
        <w:spacing w:before="161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1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1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0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1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3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0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3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3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1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0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170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(2786-76-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Heading2"/>
        <w:spacing w:before="1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58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.99159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373.07473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(3.11345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373.07473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(3.11345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62.23429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54.01967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29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spacing w:before="1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1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18" w:lineRule="exact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170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(2786-76-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17"/>
        <w:rPr>
          <w:sz w:val="24"/>
        </w:rPr>
      </w:pPr>
    </w:p>
    <w:p>
      <w:pPr>
        <w:pStyle w:val="Heading2"/>
      </w:pPr>
      <w:r>
        <w:rPr/>
        <w:t>Ingredients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Potential</w:t>
      </w:r>
      <w:r>
        <w:rPr>
          <w:spacing w:val="-9"/>
        </w:rPr>
        <w:t> </w:t>
      </w:r>
      <w:r>
        <w:rPr>
          <w:spacing w:val="-2"/>
        </w:rPr>
        <w:t>Carcinogenicity:</w:t>
      </w:r>
    </w:p>
    <w:p>
      <w:pPr>
        <w:spacing w:before="158"/>
        <w:ind w:left="720" w:right="0" w:firstLine="0"/>
        <w:jc w:val="left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ingredients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classified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carcinogens.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spacing w:before="223"/>
        <w:rPr>
          <w:b/>
          <w:sz w:val="24"/>
        </w:rPr>
      </w:pPr>
    </w:p>
    <w:p>
      <w:pPr>
        <w:pStyle w:val="Heading2"/>
      </w:pPr>
      <w:r>
        <w:rPr>
          <w:spacing w:val="-2"/>
        </w:rPr>
        <w:t>Ecotoxicity:</w:t>
      </w:r>
    </w:p>
    <w:p>
      <w:pPr>
        <w:pStyle w:val="BodyText"/>
        <w:spacing w:before="117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  <w:spacing w:before="232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2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before="229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2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before="232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57" w:lineRule="auto" w:before="118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10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2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7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spacing w:before="257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line="201" w:lineRule="auto" w:before="148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  <w:spacing w:before="240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line="201" w:lineRule="auto" w:before="148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  <w:spacing w:before="239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line="201" w:lineRule="auto" w:before="148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  <w:spacing w:before="23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20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2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1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Heading1"/>
        <w:spacing w:before="837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2"/>
        <w:spacing w:before="550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4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9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5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  <w:spacing w:before="232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line="201" w:lineRule="auto" w:before="148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  <w:spacing w:after="0" w:line="201" w:lineRule="auto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9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BodyText"/>
        <w:spacing w:line="201" w:lineRule="auto" w:before="1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199" w:lineRule="auto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298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7104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2937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8608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2026-03-19T13:37:12Z</dcterms:created>
  <dcterms:modified xsi:type="dcterms:W3CDTF">2026-03-19T13:37:12Z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